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Jacques Francois Shadow" w:cs="Jacques Francois Shadow" w:eastAsia="Jacques Francois Shadow" w:hAnsi="Jacques Francois Shadow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Jacques Francois Shadow" w:cs="Jacques Francois Shadow" w:eastAsia="Jacques Francois Shadow" w:hAnsi="Jacques Francois Shadow"/>
          <w:b w:val="1"/>
          <w:sz w:val="28"/>
          <w:szCs w:val="28"/>
          <w:vertAlign w:val="baseline"/>
          <w:rtl w:val="0"/>
        </w:rPr>
        <w:t xml:space="preserve">SENIOR TRANSITION PLAN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Name: _____________________________</w:t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 Phone: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________________</w:t>
      </w:r>
      <w:r w:rsidDel="00000000" w:rsidR="00000000" w:rsidRPr="00000000">
        <w:rPr>
          <w:sz w:val="28"/>
          <w:szCs w:val="28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 the table below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circle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your plan </w:t>
      </w:r>
      <w:r w:rsidDel="00000000" w:rsidR="00000000" w:rsidRPr="00000000">
        <w:rPr>
          <w:sz w:val="28"/>
          <w:szCs w:val="28"/>
          <w:rtl w:val="0"/>
        </w:rPr>
        <w:t xml:space="preserve">for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next year. </w:t>
      </w:r>
      <w:r w:rsidDel="00000000" w:rsidR="00000000" w:rsidRPr="00000000">
        <w:rPr>
          <w:sz w:val="28"/>
          <w:szCs w:val="28"/>
          <w:rtl w:val="0"/>
        </w:rPr>
        <w:t xml:space="preserve">O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n the list under your choice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check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the steps you have already taken and then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circle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 tasks you still need to complete.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Federo" w:cs="Federo" w:eastAsia="Federo" w:hAnsi="Federo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Federo" w:cs="Federo" w:eastAsia="Federo" w:hAnsi="Federo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5"/>
        <w:gridCol w:w="2130"/>
        <w:gridCol w:w="2250"/>
        <w:gridCol w:w="2565"/>
        <w:gridCol w:w="1380"/>
        <w:gridCol w:w="1560"/>
        <w:tblGridChange w:id="0">
          <w:tblGrid>
            <w:gridCol w:w="1605"/>
            <w:gridCol w:w="2130"/>
            <w:gridCol w:w="2250"/>
            <w:gridCol w:w="2565"/>
            <w:gridCol w:w="1380"/>
            <w:gridCol w:w="1560"/>
          </w:tblGrid>
        </w:tblGridChange>
      </w:tblGrid>
      <w:tr>
        <w:trPr>
          <w:trHeight w:val="1060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Work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Trade/ Apprenticeship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Communit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College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Four Year College/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Military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Unsure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80" w:hRule="atLeast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pdate resume</w:t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Research job market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Reflect on skills, abilities, interests, and goals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Meet with Ms. Ryan, BHS Career Coordinator</w:t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Complete job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applications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Research options through BOLI  </w:t>
            </w:r>
            <w:hyperlink r:id="rId6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https://www.oregon. gov/boli/ATD/Pages/AStatewideOpportunities.aspx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Talk to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teachers in Benson majors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Look at PCC Pre-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Apprenticeship programs  </w:t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https://www.pcc.edu/programs/apprenticeship/pre-trades.html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Apply for FAFSA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 ORSAA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https://oregonstudentaid.gov/fafsa-orsaa.aspx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Research CC</w:t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locations and programs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Complete online application on CC website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Apply for Oregon Promise</w:t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https://oregonstudentaid.gov/oregon-promise.aspx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Apply for Future Connect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https://www.pcc.edu/ future-connect/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Apply for FAFSA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or ORSAA</w:t>
            </w:r>
          </w:p>
          <w:p w:rsidR="00000000" w:rsidDel="00000000" w:rsidP="00000000" w:rsidRDefault="00000000" w:rsidRPr="00000000" w14:paraId="00000036">
            <w:pPr>
              <w:rPr/>
            </w:pPr>
            <w:hyperlink r:id="rId11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https://oregonstudentaid.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gov/fafsa-orsaa.aspx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Research college options/visit campus if possible</w:t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Decide on colleges and list them in  MAIA Learning 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https://www.maialearning.com/#/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Research scholarship options: BHS website,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OSAC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applying to private colleges, use the Common Application; schedule mtg with my counselor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Research branches of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military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Interview friends and family in military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Visit a recruite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with a parent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or guardian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Reflect on skills,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bilities, interests, and goals 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Make an appt  with my counselo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Meet with Ms. Ryan, BHS Career </w:t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Coordinator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Federo" w:cs="Federo" w:eastAsia="Federo" w:hAnsi="Federo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Fonts w:ascii="Federo" w:cs="Federo" w:eastAsia="Federo" w:hAnsi="Federo"/>
          <w:b w:val="1"/>
          <w:vertAlign w:val="baseline"/>
          <w:rtl w:val="0"/>
        </w:rPr>
        <w:t xml:space="preserve">    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  All </w:t>
      </w:r>
      <w:r w:rsidDel="00000000" w:rsidR="00000000" w:rsidRPr="00000000">
        <w:rPr>
          <w:b w:val="1"/>
          <w:rtl w:val="0"/>
        </w:rPr>
        <w:t xml:space="preserve">Transcript requests</w:t>
      </w:r>
      <w:r w:rsidDel="00000000" w:rsidR="00000000" w:rsidRPr="00000000">
        <w:rPr>
          <w:rtl w:val="0"/>
        </w:rPr>
        <w:t xml:space="preserve"> are completed in Maialearning: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  https://www.maialearning.com/#/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/>
        <w:rPr/>
      </w:pPr>
      <w:r w:rsidDel="00000000" w:rsidR="00000000" w:rsidRPr="00000000">
        <w:rPr>
          <w:rtl w:val="0"/>
        </w:rPr>
        <w:t xml:space="preserve">  Regularly check</w:t>
      </w:r>
      <w:r w:rsidDel="00000000" w:rsidR="00000000" w:rsidRPr="00000000">
        <w:rPr>
          <w:b w:val="1"/>
          <w:rtl w:val="0"/>
        </w:rPr>
        <w:t xml:space="preserve"> Benson Website</w:t>
      </w:r>
      <w:r w:rsidDel="00000000" w:rsidR="00000000" w:rsidRPr="00000000">
        <w:rPr>
          <w:rtl w:val="0"/>
        </w:rPr>
        <w:t xml:space="preserve">: Go to</w:t>
      </w:r>
      <w:r w:rsidDel="00000000" w:rsidR="00000000" w:rsidRPr="00000000">
        <w:rPr>
          <w:b w:val="1"/>
          <w:rtl w:val="0"/>
        </w:rPr>
        <w:t xml:space="preserve"> Counseling</w:t>
      </w:r>
      <w:r w:rsidDel="00000000" w:rsidR="00000000" w:rsidRPr="00000000">
        <w:rPr>
          <w:rtl w:val="0"/>
        </w:rPr>
        <w:t xml:space="preserve">, then </w:t>
      </w:r>
      <w:r w:rsidDel="00000000" w:rsidR="00000000" w:rsidRPr="00000000">
        <w:rPr>
          <w:b w:val="1"/>
          <w:rtl w:val="0"/>
        </w:rPr>
        <w:t xml:space="preserve">Counseling Center</w:t>
      </w:r>
      <w:r w:rsidDel="00000000" w:rsidR="00000000" w:rsidRPr="00000000">
        <w:rPr>
          <w:rtl w:val="0"/>
        </w:rPr>
        <w:t xml:space="preserve">, then </w:t>
      </w:r>
      <w:r w:rsidDel="00000000" w:rsidR="00000000" w:rsidRPr="00000000">
        <w:rPr>
          <w:b w:val="1"/>
          <w:rtl w:val="0"/>
        </w:rPr>
        <w:t xml:space="preserve">College News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51">
      <w:pPr>
        <w:rPr>
          <w:b w:val="1"/>
          <w:vertAlign w:val="baseline"/>
        </w:rPr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Jacques Francois Shadow">
    <w:embedRegular w:fontKey="{00000000-0000-0000-0000-000000000000}" r:id="rId1" w:subsetted="0"/>
  </w:font>
  <w:font w:name="Fede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jc w:val="right"/>
    </w:pPr>
    <w:rPr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0"/>
      <w:jc w:val="center"/>
    </w:pPr>
    <w:rPr>
      <w:b w:val="1"/>
      <w:sz w:val="22"/>
      <w:szCs w:val="22"/>
      <w:u w:val="single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regonstudentaid.gov/fafsa-orsaa.aspx" TargetMode="External"/><Relationship Id="rId10" Type="http://schemas.openxmlformats.org/officeDocument/2006/relationships/hyperlink" Target="https://www.pcc.edu/future-connect/" TargetMode="External"/><Relationship Id="rId13" Type="http://schemas.openxmlformats.org/officeDocument/2006/relationships/hyperlink" Target="https://www.maialearning.com/#/" TargetMode="External"/><Relationship Id="rId12" Type="http://schemas.openxmlformats.org/officeDocument/2006/relationships/hyperlink" Target="https://oregonstudentaid.gov/fafsa-orsaa.asp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egonstudentaid.gov/oregon-promise.aspx" TargetMode="External"/><Relationship Id="rId14" Type="http://schemas.openxmlformats.org/officeDocument/2006/relationships/hyperlink" Target="https://www.maialearning.com/#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regon.gov/boli/ATD/Pages/A_StatewideOpportunities.aspx" TargetMode="External"/><Relationship Id="rId7" Type="http://schemas.openxmlformats.org/officeDocument/2006/relationships/hyperlink" Target="https://www.pcc.edu/programs/apprenticeship/pre-trades.html" TargetMode="External"/><Relationship Id="rId8" Type="http://schemas.openxmlformats.org/officeDocument/2006/relationships/hyperlink" Target="https://oregonstudentaid.gov/fafsa-orsaa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